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F3864"/>
          <w:sz w:val="30"/>
          <w:szCs w:val="30"/>
        </w:rPr>
        <w:t xml:space="preserve">Subcontractor Insurance Requirements</w:t>
      </w:r>
    </w:p>
    <w:p>
      <w:pPr>
        <w:pBdr>
          <w:bottom w:val="single" w:color="1F3864" w:sz="6"/>
        </w:pBdr>
        <w:spacing w:after="60"/>
      </w:pPr>
      <w:r>
        <w:rPr>
          <w:rFonts w:ascii="Arial" w:cs="Arial" w:eastAsia="Arial" w:hAnsi="Arial"/>
          <w:i/>
          <w:iCs/>
          <w:color w:val="666666"/>
          <w:sz w:val="19"/>
          <w:szCs w:val="19"/>
        </w:rPr>
        <w:t xml:space="preserve">Exhibit to Subcontract Agreement — Construction</w:t>
      </w:r>
    </w:p>
    <w:p>
      <w:pPr>
        <w:spacing w:after="90" w:before="220"/>
      </w:pPr>
      <w:r>
        <w:rPr>
          <w:rFonts w:ascii="Arial" w:cs="Arial" w:eastAsia="Arial" w:hAnsi="Arial"/>
          <w:b/>
          <w:bCs/>
          <w:color w:val="1F3864"/>
          <w:sz w:val="21"/>
          <w:szCs w:val="21"/>
        </w:rPr>
        <w:t xml:space="preserve">1. Named Entities (complete before use)</w:t>
      </w:r>
    </w:p>
    <w:p>
      <w:pPr>
        <w:spacing w:after="80"/>
      </w:pPr>
      <w:r>
        <w:rPr>
          <w:rFonts w:ascii="Arial" w:cs="Arial" w:eastAsia="Arial" w:hAnsi="Arial"/>
          <w:sz w:val="19"/>
          <w:szCs w:val="19"/>
        </w:rPr>
        <w:t xml:space="preserve">Certificate Holder (exact legal name and address):  ____________________________________________</w:t>
      </w:r>
    </w:p>
    <w:p>
      <w:pPr>
        <w:spacing w:after="80"/>
      </w:pPr>
      <w:r>
        <w:rPr>
          <w:rFonts w:ascii="Arial" w:cs="Arial" w:eastAsia="Arial" w:hAnsi="Arial"/>
          <w:sz w:val="19"/>
          <w:szCs w:val="19"/>
        </w:rPr>
        <w:t xml:space="preserve">Additional Insureds — exact legal names of owner entity(ies) and management company:  ____________________________________________</w:t>
      </w:r>
    </w:p>
    <w:p>
      <w:pPr>
        <w:spacing w:after="80"/>
      </w:pPr>
      <w:r>
        <w:rPr>
          <w:rFonts w:ascii="Arial" w:cs="Arial" w:eastAsia="Arial" w:hAnsi="Arial"/>
          <w:sz w:val="19"/>
          <w:szCs w:val="19"/>
        </w:rPr>
        <w:t xml:space="preserve">Certificates and endorsements must be emailed to:  ____________________________________________</w:t>
      </w:r>
    </w:p>
    <w:p>
      <w:pPr>
        <w:spacing w:after="90" w:before="220"/>
      </w:pPr>
      <w:r>
        <w:rPr>
          <w:rFonts w:ascii="Arial" w:cs="Arial" w:eastAsia="Arial" w:hAnsi="Arial"/>
          <w:b/>
          <w:bCs/>
          <w:color w:val="1F3864"/>
          <w:sz w:val="21"/>
          <w:szCs w:val="21"/>
        </w:rPr>
        <w:t xml:space="preserve">2. Required Coverage</w:t>
      </w:r>
    </w:p>
    <w:tbl>
      <w:tblPr>
        <w:tblW w:type="dxa" w:w="10500"/>
        <w:tblBorders>
          <w:top w:val="single" w:color="auto" w:sz="4"/>
          <w:left w:val="single" w:color="auto" w:sz="4"/>
          <w:bottom w:val="single" w:color="auto" w:sz="4"/>
          <w:right w:val="single" w:color="auto" w:sz="4"/>
          <w:insideH w:val="single" w:color="auto" w:sz="4"/>
          <w:insideV w:val="single" w:color="auto" w:sz="4"/>
        </w:tblBorders>
      </w:tblPr>
      <w:tblGrid>
        <w:gridCol w:w="3600"/>
        <w:gridCol w:w="3400"/>
        <w:gridCol w:w="3500"/>
      </w:tblGrid>
      <w:tr>
        <w:tc>
          <w:tcPr>
            <w:tcW w:type="dxa" w:w="3600"/>
            <w:shd w:fill="1F3864" w:val="clear"/>
            <w:tcMar>
              <w:top w:type="dxa" w:w="60"/>
              <w:left w:type="dxa" w:w="100"/>
              <w:bottom w:type="dxa" w:w="60"/>
              <w:right w:type="dxa" w:w="100"/>
            </w:tcMar>
          </w:tcPr>
          <w:p>
            <w:r>
              <w:rPr>
                <w:rFonts w:ascii="Arial" w:cs="Arial" w:eastAsia="Arial" w:hAnsi="Arial"/>
                <w:b/>
                <w:bCs/>
                <w:color w:val="FFFFFF"/>
                <w:sz w:val="19"/>
                <w:szCs w:val="19"/>
              </w:rPr>
              <w:t xml:space="preserve">Coverage</w:t>
            </w:r>
          </w:p>
        </w:tc>
        <w:tc>
          <w:tcPr>
            <w:tcW w:type="dxa" w:w="3400"/>
            <w:shd w:fill="1F3864" w:val="clear"/>
            <w:tcMar>
              <w:top w:type="dxa" w:w="60"/>
              <w:left w:type="dxa" w:w="100"/>
              <w:bottom w:type="dxa" w:w="60"/>
              <w:right w:type="dxa" w:w="100"/>
            </w:tcMar>
          </w:tcPr>
          <w:p>
            <w:r>
              <w:rPr>
                <w:rFonts w:ascii="Arial" w:cs="Arial" w:eastAsia="Arial" w:hAnsi="Arial"/>
                <w:b/>
                <w:bCs/>
                <w:color w:val="FFFFFF"/>
                <w:sz w:val="19"/>
                <w:szCs w:val="19"/>
              </w:rPr>
              <w:t xml:space="preserve">Standard Trades</w:t>
            </w:r>
          </w:p>
        </w:tc>
        <w:tc>
          <w:tcPr>
            <w:tcW w:type="dxa" w:w="3500"/>
            <w:shd w:fill="1F3864" w:val="clear"/>
            <w:tcMar>
              <w:top w:type="dxa" w:w="60"/>
              <w:left w:type="dxa" w:w="100"/>
              <w:bottom w:type="dxa" w:w="60"/>
              <w:right w:type="dxa" w:w="100"/>
            </w:tcMar>
          </w:tcPr>
          <w:p>
            <w:r>
              <w:rPr>
                <w:rFonts w:ascii="Arial" w:cs="Arial" w:eastAsia="Arial" w:hAnsi="Arial"/>
                <w:b/>
                <w:bCs/>
                <w:color w:val="FFFFFF"/>
                <w:sz w:val="19"/>
                <w:szCs w:val="19"/>
              </w:rPr>
              <w:t xml:space="preserve">High-Hazard Trades*</w:t>
            </w:r>
          </w:p>
        </w:tc>
      </w:tr>
      <w:tr>
        <w:tc>
          <w:tcPr>
            <w:tcW w:type="dxa" w:w="3600"/>
            <w:tcMar>
              <w:top w:type="dxa" w:w="60"/>
              <w:left w:type="dxa" w:w="100"/>
              <w:bottom w:type="dxa" w:w="60"/>
              <w:right w:type="dxa" w:w="100"/>
            </w:tcMar>
          </w:tcPr>
          <w:p>
            <w:r>
              <w:rPr>
                <w:rFonts w:ascii="Arial" w:cs="Arial" w:eastAsia="Arial" w:hAnsi="Arial"/>
                <w:b w:val="false"/>
                <w:bCs w:val="false"/>
                <w:color w:val="000000"/>
                <w:sz w:val="19"/>
                <w:szCs w:val="19"/>
              </w:rPr>
              <w:t xml:space="preserve">Commercial General Liability (occurrence form, incl. products/completed operations)</w:t>
            </w:r>
          </w:p>
        </w:tc>
        <w:tc>
          <w:tcPr>
            <w:tcW w:type="dxa" w:w="3400"/>
            <w:tcMar>
              <w:top w:type="dxa" w:w="60"/>
              <w:left w:type="dxa" w:w="100"/>
              <w:bottom w:type="dxa" w:w="60"/>
              <w:right w:type="dxa" w:w="100"/>
            </w:tcMar>
          </w:tcPr>
          <w:p>
            <w:r>
              <w:rPr>
                <w:rFonts w:ascii="Arial" w:cs="Arial" w:eastAsia="Arial" w:hAnsi="Arial"/>
                <w:b w:val="false"/>
                <w:bCs w:val="false"/>
                <w:color w:val="000000"/>
                <w:sz w:val="19"/>
                <w:szCs w:val="19"/>
              </w:rPr>
              <w:t xml:space="preserve">$1M occ / $2M agg</w:t>
            </w:r>
          </w:p>
        </w:tc>
        <w:tc>
          <w:tcPr>
            <w:tcW w:type="dxa" w:w="3500"/>
            <w:tcMar>
              <w:top w:type="dxa" w:w="60"/>
              <w:left w:type="dxa" w:w="100"/>
              <w:bottom w:type="dxa" w:w="60"/>
              <w:right w:type="dxa" w:w="100"/>
            </w:tcMar>
          </w:tcPr>
          <w:p>
            <w:r>
              <w:rPr>
                <w:rFonts w:ascii="Arial" w:cs="Arial" w:eastAsia="Arial" w:hAnsi="Arial"/>
                <w:b w:val="false"/>
                <w:bCs w:val="false"/>
                <w:color w:val="000000"/>
                <w:sz w:val="19"/>
                <w:szCs w:val="19"/>
              </w:rPr>
              <w:t xml:space="preserve">$1M occ / $2M agg</w:t>
            </w:r>
          </w:p>
        </w:tc>
      </w:tr>
      <w:tr>
        <w:tc>
          <w:tcPr>
            <w:tcW w:type="dxa" w:w="3600"/>
            <w:tcMar>
              <w:top w:type="dxa" w:w="60"/>
              <w:left w:type="dxa" w:w="100"/>
              <w:bottom w:type="dxa" w:w="60"/>
              <w:right w:type="dxa" w:w="100"/>
            </w:tcMar>
          </w:tcPr>
          <w:p>
            <w:r>
              <w:rPr>
                <w:rFonts w:ascii="Arial" w:cs="Arial" w:eastAsia="Arial" w:hAnsi="Arial"/>
                <w:b w:val="false"/>
                <w:bCs w:val="false"/>
                <w:color w:val="000000"/>
                <w:sz w:val="19"/>
                <w:szCs w:val="19"/>
              </w:rPr>
              <w:t xml:space="preserve">Workers' Compensation / Employer's Liability</w:t>
            </w:r>
          </w:p>
        </w:tc>
        <w:tc>
          <w:tcPr>
            <w:tcW w:type="dxa" w:w="3400"/>
            <w:tcMar>
              <w:top w:type="dxa" w:w="60"/>
              <w:left w:type="dxa" w:w="100"/>
              <w:bottom w:type="dxa" w:w="60"/>
              <w:right w:type="dxa" w:w="100"/>
            </w:tcMar>
          </w:tcPr>
          <w:p>
            <w:r>
              <w:rPr>
                <w:rFonts w:ascii="Arial" w:cs="Arial" w:eastAsia="Arial" w:hAnsi="Arial"/>
                <w:b w:val="false"/>
                <w:bCs w:val="false"/>
                <w:color w:val="000000"/>
                <w:sz w:val="19"/>
                <w:szCs w:val="19"/>
              </w:rPr>
              <w:t xml:space="preserve">Statutory / $1M</w:t>
            </w:r>
          </w:p>
        </w:tc>
        <w:tc>
          <w:tcPr>
            <w:tcW w:type="dxa" w:w="3500"/>
            <w:tcMar>
              <w:top w:type="dxa" w:w="60"/>
              <w:left w:type="dxa" w:w="100"/>
              <w:bottom w:type="dxa" w:w="60"/>
              <w:right w:type="dxa" w:w="100"/>
            </w:tcMar>
          </w:tcPr>
          <w:p>
            <w:r>
              <w:rPr>
                <w:rFonts w:ascii="Arial" w:cs="Arial" w:eastAsia="Arial" w:hAnsi="Arial"/>
                <w:b w:val="false"/>
                <w:bCs w:val="false"/>
                <w:color w:val="000000"/>
                <w:sz w:val="19"/>
                <w:szCs w:val="19"/>
              </w:rPr>
              <w:t xml:space="preserve">Statutory / $1M</w:t>
            </w:r>
          </w:p>
        </w:tc>
      </w:tr>
      <w:tr>
        <w:tc>
          <w:tcPr>
            <w:tcW w:type="dxa" w:w="3600"/>
            <w:tcMar>
              <w:top w:type="dxa" w:w="60"/>
              <w:left w:type="dxa" w:w="100"/>
              <w:bottom w:type="dxa" w:w="60"/>
              <w:right w:type="dxa" w:w="100"/>
            </w:tcMar>
          </w:tcPr>
          <w:p>
            <w:r>
              <w:rPr>
                <w:rFonts w:ascii="Arial" w:cs="Arial" w:eastAsia="Arial" w:hAnsi="Arial"/>
                <w:b w:val="false"/>
                <w:bCs w:val="false"/>
                <w:color w:val="000000"/>
                <w:sz w:val="19"/>
                <w:szCs w:val="19"/>
              </w:rPr>
              <w:t xml:space="preserve">Commercial Auto — any auto (CSL)</w:t>
            </w:r>
          </w:p>
        </w:tc>
        <w:tc>
          <w:tcPr>
            <w:tcW w:type="dxa" w:w="3400"/>
            <w:tcMar>
              <w:top w:type="dxa" w:w="60"/>
              <w:left w:type="dxa" w:w="100"/>
              <w:bottom w:type="dxa" w:w="60"/>
              <w:right w:type="dxa" w:w="100"/>
            </w:tcMar>
          </w:tcPr>
          <w:p>
            <w:r>
              <w:rPr>
                <w:rFonts w:ascii="Arial" w:cs="Arial" w:eastAsia="Arial" w:hAnsi="Arial"/>
                <w:b w:val="false"/>
                <w:bCs w:val="false"/>
                <w:color w:val="000000"/>
                <w:sz w:val="19"/>
                <w:szCs w:val="19"/>
              </w:rPr>
              <w:t xml:space="preserve">$1M</w:t>
            </w:r>
          </w:p>
        </w:tc>
        <w:tc>
          <w:tcPr>
            <w:tcW w:type="dxa" w:w="3500"/>
            <w:tcMar>
              <w:top w:type="dxa" w:w="60"/>
              <w:left w:type="dxa" w:w="100"/>
              <w:bottom w:type="dxa" w:w="60"/>
              <w:right w:type="dxa" w:w="100"/>
            </w:tcMar>
          </w:tcPr>
          <w:p>
            <w:r>
              <w:rPr>
                <w:rFonts w:ascii="Arial" w:cs="Arial" w:eastAsia="Arial" w:hAnsi="Arial"/>
                <w:b w:val="false"/>
                <w:bCs w:val="false"/>
                <w:color w:val="000000"/>
                <w:sz w:val="19"/>
                <w:szCs w:val="19"/>
              </w:rPr>
              <w:t xml:space="preserve">$1M</w:t>
            </w:r>
          </w:p>
        </w:tc>
      </w:tr>
      <w:tr>
        <w:tc>
          <w:tcPr>
            <w:tcW w:type="dxa" w:w="3600"/>
            <w:tcMar>
              <w:top w:type="dxa" w:w="60"/>
              <w:left w:type="dxa" w:w="100"/>
              <w:bottom w:type="dxa" w:w="60"/>
              <w:right w:type="dxa" w:w="100"/>
            </w:tcMar>
          </w:tcPr>
          <w:p>
            <w:r>
              <w:rPr>
                <w:rFonts w:ascii="Arial" w:cs="Arial" w:eastAsia="Arial" w:hAnsi="Arial"/>
                <w:b w:val="false"/>
                <w:bCs w:val="false"/>
                <w:color w:val="000000"/>
                <w:sz w:val="19"/>
                <w:szCs w:val="19"/>
              </w:rPr>
              <w:t xml:space="preserve">Umbrella / Excess (following form)</w:t>
            </w:r>
          </w:p>
        </w:tc>
        <w:tc>
          <w:tcPr>
            <w:tcW w:type="dxa" w:w="3400"/>
            <w:tcMar>
              <w:top w:type="dxa" w:w="60"/>
              <w:left w:type="dxa" w:w="100"/>
              <w:bottom w:type="dxa" w:w="60"/>
              <w:right w:type="dxa" w:w="100"/>
            </w:tcMar>
          </w:tcPr>
          <w:p>
            <w:r>
              <w:rPr>
                <w:rFonts w:ascii="Arial" w:cs="Arial" w:eastAsia="Arial" w:hAnsi="Arial"/>
                <w:b w:val="false"/>
                <w:bCs w:val="false"/>
                <w:color w:val="000000"/>
                <w:sz w:val="19"/>
                <w:szCs w:val="19"/>
              </w:rPr>
              <w:t xml:space="preserve">$2M</w:t>
            </w:r>
          </w:p>
        </w:tc>
        <w:tc>
          <w:tcPr>
            <w:tcW w:type="dxa" w:w="3500"/>
            <w:tcMar>
              <w:top w:type="dxa" w:w="60"/>
              <w:left w:type="dxa" w:w="100"/>
              <w:bottom w:type="dxa" w:w="60"/>
              <w:right w:type="dxa" w:w="100"/>
            </w:tcMar>
          </w:tcPr>
          <w:p>
            <w:r>
              <w:rPr>
                <w:rFonts w:ascii="Arial" w:cs="Arial" w:eastAsia="Arial" w:hAnsi="Arial"/>
                <w:b w:val="false"/>
                <w:bCs w:val="false"/>
                <w:color w:val="000000"/>
                <w:sz w:val="19"/>
                <w:szCs w:val="19"/>
              </w:rPr>
              <w:t xml:space="preserve">$5M+ (scaled to contract value)</w:t>
            </w:r>
          </w:p>
        </w:tc>
      </w:tr>
      <w:tr>
        <w:tc>
          <w:tcPr>
            <w:tcW w:type="dxa" w:w="3600"/>
            <w:tcMar>
              <w:top w:type="dxa" w:w="60"/>
              <w:left w:type="dxa" w:w="100"/>
              <w:bottom w:type="dxa" w:w="60"/>
              <w:right w:type="dxa" w:w="100"/>
            </w:tcMar>
          </w:tcPr>
          <w:p>
            <w:r>
              <w:rPr>
                <w:rFonts w:ascii="Arial" w:cs="Arial" w:eastAsia="Arial" w:hAnsi="Arial"/>
                <w:b w:val="false"/>
                <w:bCs w:val="false"/>
                <w:color w:val="000000"/>
                <w:sz w:val="19"/>
                <w:szCs w:val="19"/>
              </w:rPr>
              <w:t xml:space="preserve">Coverage maintained after completion</w:t>
            </w:r>
          </w:p>
        </w:tc>
        <w:tc>
          <w:tcPr>
            <w:tcW w:type="dxa" w:w="3400"/>
            <w:tcMar>
              <w:top w:type="dxa" w:w="60"/>
              <w:left w:type="dxa" w:w="100"/>
              <w:bottom w:type="dxa" w:w="60"/>
              <w:right w:type="dxa" w:w="100"/>
            </w:tcMar>
          </w:tcPr>
          <w:p>
            <w:r>
              <w:rPr>
                <w:rFonts w:ascii="Arial" w:cs="Arial" w:eastAsia="Arial" w:hAnsi="Arial"/>
                <w:b w:val="false"/>
                <w:bCs w:val="false"/>
                <w:color w:val="000000"/>
                <w:sz w:val="19"/>
                <w:szCs w:val="19"/>
              </w:rPr>
              <w:t xml:space="preserve">3 years (or per subcontract)</w:t>
            </w:r>
          </w:p>
        </w:tc>
        <w:tc>
          <w:tcPr>
            <w:tcW w:type="dxa" w:w="3500"/>
            <w:tcMar>
              <w:top w:type="dxa" w:w="60"/>
              <w:left w:type="dxa" w:w="100"/>
              <w:bottom w:type="dxa" w:w="60"/>
              <w:right w:type="dxa" w:w="100"/>
            </w:tcMar>
          </w:tcPr>
          <w:p>
            <w:r>
              <w:rPr>
                <w:rFonts w:ascii="Arial" w:cs="Arial" w:eastAsia="Arial" w:hAnsi="Arial"/>
                <w:b w:val="false"/>
                <w:bCs w:val="false"/>
                <w:color w:val="000000"/>
                <w:sz w:val="19"/>
                <w:szCs w:val="19"/>
              </w:rPr>
              <w:t xml:space="preserve">3+ years (or statute of repose)</w:t>
            </w:r>
          </w:p>
        </w:tc>
      </w:tr>
    </w:tbl>
    <w:p>
      <w:pPr>
        <w:spacing w:after="80"/>
      </w:pPr>
      <w:r>
        <w:rPr>
          <w:rFonts w:ascii="Arial" w:cs="Arial" w:eastAsia="Arial" w:hAnsi="Arial"/>
          <w:i/>
          <w:iCs/>
          <w:color w:val="666666"/>
          <w:sz w:val="17"/>
          <w:szCs w:val="17"/>
        </w:rPr>
        <w:t xml:space="preserve">*High-hazard: structural steel, roofing, demolition, elevator, fire suppression, work at height, heavy equipment. Owner flow-down requirements, where stricter, control.</w:t>
      </w:r>
    </w:p>
    <w:p>
      <w:pPr>
        <w:spacing w:after="90" w:before="220"/>
      </w:pPr>
      <w:r>
        <w:rPr>
          <w:rFonts w:ascii="Arial" w:cs="Arial" w:eastAsia="Arial" w:hAnsi="Arial"/>
          <w:b/>
          <w:bCs/>
          <w:color w:val="1F3864"/>
          <w:sz w:val="21"/>
          <w:szCs w:val="21"/>
        </w:rPr>
        <w:t xml:space="preserve">3. Required Endorsements — all coverage tiers</w:t>
      </w:r>
    </w:p>
    <w:p>
      <w:pPr>
        <w:pStyle w:val="ListParagraph"/>
        <w:numPr>
          <w:ilvl w:val="0"/>
          <w:numId w:val="2"/>
        </w:numPr>
        <w:spacing w:after="60"/>
      </w:pPr>
      <w:r>
        <w:rPr>
          <w:rFonts w:ascii="Arial" w:cs="Arial" w:eastAsia="Arial" w:hAnsi="Arial"/>
          <w:b/>
          <w:bCs/>
          <w:sz w:val="19"/>
          <w:szCs w:val="19"/>
        </w:rPr>
        <w:t xml:space="preserve">Additional Insured status </w:t>
      </w:r>
      <w:r>
        <w:rPr>
          <w:rFonts w:ascii="Arial" w:cs="Arial" w:eastAsia="Arial" w:hAnsi="Arial"/>
          <w:sz w:val="19"/>
          <w:szCs w:val="19"/>
        </w:rPr>
        <w:t xml:space="preserve">for the entities named in Section 1, by endorsement, for ongoing operations (ISO CG 20 10 or equivalent) AND completed operations (ISO CG 20 37 or equivalent). Endorsement forms must be attached — a reference in the certificate's description box does not satisfy this requirement.</w:t>
      </w:r>
    </w:p>
    <w:p>
      <w:pPr>
        <w:pStyle w:val="ListParagraph"/>
        <w:numPr>
          <w:ilvl w:val="0"/>
          <w:numId w:val="2"/>
        </w:numPr>
        <w:spacing w:after="60"/>
      </w:pPr>
      <w:r>
        <w:rPr>
          <w:rFonts w:ascii="Arial" w:cs="Arial" w:eastAsia="Arial" w:hAnsi="Arial"/>
          <w:b/>
          <w:bCs/>
          <w:sz w:val="19"/>
          <w:szCs w:val="19"/>
        </w:rPr>
        <w:t xml:space="preserve">Primary and Noncontributory </w:t>
      </w:r>
      <w:r>
        <w:rPr>
          <w:rFonts w:ascii="Arial" w:cs="Arial" w:eastAsia="Arial" w:hAnsi="Arial"/>
          <w:sz w:val="19"/>
          <w:szCs w:val="19"/>
        </w:rPr>
        <w:t xml:space="preserve">wording (CG 20 01 or equivalent): Subcontractor's insurance is primary; any insurance maintained by the entities in Section 1 is excess and noncontributing.</w:t>
      </w:r>
    </w:p>
    <w:p>
      <w:pPr>
        <w:pStyle w:val="ListParagraph"/>
        <w:numPr>
          <w:ilvl w:val="0"/>
          <w:numId w:val="2"/>
        </w:numPr>
        <w:spacing w:after="60"/>
      </w:pPr>
      <w:r>
        <w:rPr>
          <w:rFonts w:ascii="Arial" w:cs="Arial" w:eastAsia="Arial" w:hAnsi="Arial"/>
          <w:b/>
          <w:bCs/>
          <w:sz w:val="19"/>
          <w:szCs w:val="19"/>
        </w:rPr>
        <w:t xml:space="preserve">Waiver of Subrogation </w:t>
      </w:r>
      <w:r>
        <w:rPr>
          <w:rFonts w:ascii="Arial" w:cs="Arial" w:eastAsia="Arial" w:hAnsi="Arial"/>
          <w:sz w:val="19"/>
          <w:szCs w:val="19"/>
        </w:rPr>
        <w:t xml:space="preserve">in favor of the entities in Section 1, on the General Liability AND Workers' Compensation policies.</w:t>
      </w:r>
    </w:p>
    <w:p>
      <w:pPr>
        <w:pStyle w:val="ListParagraph"/>
        <w:numPr>
          <w:ilvl w:val="0"/>
          <w:numId w:val="2"/>
        </w:numPr>
        <w:spacing w:after="60"/>
      </w:pPr>
      <w:r>
        <w:rPr>
          <w:rFonts w:ascii="Arial" w:cs="Arial" w:eastAsia="Arial" w:hAnsi="Arial"/>
          <w:b/>
          <w:bCs/>
          <w:sz w:val="19"/>
          <w:szCs w:val="19"/>
        </w:rPr>
        <w:t xml:space="preserve">Notice of Cancellation: </w:t>
      </w:r>
      <w:r>
        <w:rPr>
          <w:rFonts w:ascii="Arial" w:cs="Arial" w:eastAsia="Arial" w:hAnsi="Arial"/>
          <w:sz w:val="19"/>
          <w:szCs w:val="19"/>
        </w:rPr>
        <w:t xml:space="preserve">thirty (30) days' prior written notice of cancellation or material change, by endorsement where required; insured shall in any event give notice within five (5) business days.</w:t>
      </w:r>
    </w:p>
    <w:p>
      <w:pPr>
        <w:spacing w:after="90" w:before="220"/>
      </w:pPr>
      <w:r>
        <w:rPr>
          <w:rFonts w:ascii="Arial" w:cs="Arial" w:eastAsia="Arial" w:hAnsi="Arial"/>
          <w:b/>
          <w:bCs/>
          <w:color w:val="1F3864"/>
          <w:sz w:val="21"/>
          <w:szCs w:val="21"/>
        </w:rPr>
        <w:t xml:space="preserve">Additional Construction Requirements</w:t>
      </w:r>
    </w:p>
    <w:p>
      <w:pPr>
        <w:pStyle w:val="ListParagraph"/>
        <w:numPr>
          <w:ilvl w:val="0"/>
          <w:numId w:val="2"/>
        </w:numPr>
        <w:spacing w:after="60"/>
      </w:pPr>
      <w:r>
        <w:rPr>
          <w:rFonts w:ascii="Arial" w:cs="Arial" w:eastAsia="Arial" w:hAnsi="Arial"/>
          <w:b/>
          <w:bCs/>
          <w:sz w:val="19"/>
          <w:szCs w:val="19"/>
        </w:rPr>
        <w:t xml:space="preserve">Contractual liability </w:t>
      </w:r>
      <w:r>
        <w:rPr>
          <w:rFonts w:ascii="Arial" w:cs="Arial" w:eastAsia="Arial" w:hAnsi="Arial"/>
          <w:sz w:val="19"/>
          <w:szCs w:val="19"/>
        </w:rPr>
        <w:t xml:space="preserve">coverage supporting the indemnity obligations of the subcontract.</w:t>
      </w:r>
    </w:p>
    <w:p>
      <w:pPr>
        <w:pStyle w:val="ListParagraph"/>
        <w:numPr>
          <w:ilvl w:val="0"/>
          <w:numId w:val="2"/>
        </w:numPr>
        <w:spacing w:after="60"/>
      </w:pPr>
      <w:r>
        <w:rPr>
          <w:rFonts w:ascii="Arial" w:cs="Arial" w:eastAsia="Arial" w:hAnsi="Arial"/>
          <w:b/>
          <w:bCs/>
          <w:sz w:val="19"/>
          <w:szCs w:val="19"/>
        </w:rPr>
        <w:t xml:space="preserve">Lower-tier subcontractors: </w:t>
      </w:r>
      <w:r>
        <w:rPr>
          <w:rFonts w:ascii="Arial" w:cs="Arial" w:eastAsia="Arial" w:hAnsi="Arial"/>
          <w:sz w:val="19"/>
          <w:szCs w:val="19"/>
        </w:rPr>
        <w:t xml:space="preserve">Subcontractor shall require the same coverages and endorsements of its subcontractors of every tier, and shall provide evidence upon request.</w:t>
      </w:r>
    </w:p>
    <w:p>
      <w:pPr>
        <w:pStyle w:val="ListParagraph"/>
        <w:numPr>
          <w:ilvl w:val="0"/>
          <w:numId w:val="2"/>
        </w:numPr>
        <w:spacing w:after="60"/>
      </w:pPr>
      <w:r>
        <w:rPr>
          <w:rFonts w:ascii="Arial" w:cs="Arial" w:eastAsia="Arial" w:hAnsi="Arial"/>
          <w:b/>
          <w:bCs/>
          <w:sz w:val="19"/>
          <w:szCs w:val="19"/>
        </w:rPr>
        <w:t xml:space="preserve">Wrap-up projects (OCIP/CCIP): </w:t>
      </w:r>
      <w:r>
        <w:rPr>
          <w:rFonts w:ascii="Arial" w:cs="Arial" w:eastAsia="Arial" w:hAnsi="Arial"/>
          <w:sz w:val="19"/>
          <w:szCs w:val="19"/>
        </w:rPr>
        <w:t xml:space="preserve">enrollment required where applicable; auto, off-site operations, and non-wrapped coverages remain subject to this exhibit.</w:t>
      </w:r>
    </w:p>
    <w:p>
      <w:pPr>
        <w:spacing w:after="90" w:before="220"/>
      </w:pPr>
      <w:r>
        <w:rPr>
          <w:rFonts w:ascii="Arial" w:cs="Arial" w:eastAsia="Arial" w:hAnsi="Arial"/>
          <w:b/>
          <w:bCs/>
          <w:color w:val="1F3864"/>
          <w:sz w:val="21"/>
          <w:szCs w:val="21"/>
        </w:rPr>
        <w:t xml:space="preserve">4. Delivery &amp; Verification Standard</w:t>
      </w:r>
    </w:p>
    <w:p>
      <w:pPr>
        <w:pStyle w:val="ListParagraph"/>
        <w:numPr>
          <w:ilvl w:val="0"/>
          <w:numId w:val="2"/>
        </w:numPr>
        <w:spacing w:after="60"/>
      </w:pPr>
      <w:r>
        <w:rPr>
          <w:rFonts w:ascii="Arial" w:cs="Arial" w:eastAsia="Arial" w:hAnsi="Arial"/>
          <w:b/>
          <w:bCs/>
          <w:sz w:val="19"/>
          <w:szCs w:val="19"/>
        </w:rPr>
        <w:t xml:space="preserve">Certificate of insurance (ACORD 25) with ALL required endorsement pages attached</w:t>
      </w:r>
      <w:r>
        <w:rPr>
          <w:rFonts w:ascii="Arial" w:cs="Arial" w:eastAsia="Arial" w:hAnsi="Arial"/>
          <w:sz w:val="19"/>
          <w:szCs w:val="19"/>
        </w:rPr>
        <w:t xml:space="preserve">, delivered before mobilization, and not later than ten (10) days before each policy renewal.</w:t>
      </w:r>
    </w:p>
    <w:p>
      <w:pPr>
        <w:pStyle w:val="ListParagraph"/>
        <w:numPr>
          <w:ilvl w:val="0"/>
          <w:numId w:val="2"/>
        </w:numPr>
        <w:spacing w:after="60"/>
      </w:pPr>
      <w:r>
        <w:rPr>
          <w:rFonts w:ascii="Arial" w:cs="Arial" w:eastAsia="Arial" w:hAnsi="Arial"/>
          <w:sz w:val="19"/>
          <w:szCs w:val="19"/>
        </w:rPr>
        <w:t xml:space="preserve">A certificate without attached endorsements does not constitute compliance.</w:t>
      </w:r>
    </w:p>
    <w:p>
      <w:pPr>
        <w:pStyle w:val="ListParagraph"/>
        <w:numPr>
          <w:ilvl w:val="0"/>
          <w:numId w:val="2"/>
        </w:numPr>
        <w:spacing w:after="60"/>
      </w:pPr>
      <w:r>
        <w:rPr>
          <w:rFonts w:ascii="Arial" w:cs="Arial" w:eastAsia="Arial" w:hAnsi="Arial"/>
          <w:sz w:val="19"/>
          <w:szCs w:val="19"/>
        </w:rPr>
        <w:t xml:space="preserve">All policies written on an occurrence form with carriers rated A.M. Best A-/VII or better.</w:t>
      </w:r>
    </w:p>
    <w:p>
      <w:pPr>
        <w:spacing w:after="80"/>
      </w:pPr>
      <w:r>
        <w:rPr>
          <w:rFonts w:ascii="Arial" w:cs="Arial" w:eastAsia="Arial" w:hAnsi="Arial"/>
          <w:b/>
          <w:bCs/>
          <w:sz w:val="19"/>
          <w:szCs w:val="19"/>
        </w:rPr>
        <w:t xml:space="preserve">No compliant certificate on file → no mobilization, no NTP, and no pay application processing.</w:t>
      </w:r>
    </w:p>
    <w:p>
      <w:pPr>
        <w:pBdr>
          <w:top w:val="single" w:color="BFBFBF" w:sz="4"/>
        </w:pBdr>
        <w:spacing w:before="160"/>
      </w:pPr>
      <w:r>
        <w:rPr>
          <w:rFonts w:ascii="Arial" w:cs="Arial" w:eastAsia="Arial" w:hAnsi="Arial"/>
          <w:i/>
          <w:iCs/>
          <w:color w:val="666666"/>
          <w:sz w:val="16"/>
          <w:szCs w:val="16"/>
        </w:rPr>
        <w:t xml:space="preserve">Subcontractor Insurance Requirements Template — baseline template provided by Tightrope (tightrope.ai/coi). Limits are common commercial baselines; calibrate with your insurance broker and have your attorney confirm alignment with your agreement's insurance provisions before use. This document is not legal advice.</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15"/>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2026-07-28T23:23:24.631Z</dcterms:created>
  <dcterms:modified xsi:type="dcterms:W3CDTF">2026-07-28T23:23:24.631Z</dcterms:modified>
</cp:coreProperties>
</file>

<file path=docProps/custom.xml><?xml version="1.0" encoding="utf-8"?>
<Properties xmlns="http://schemas.openxmlformats.org/officeDocument/2006/custom-properties" xmlns:vt="http://schemas.openxmlformats.org/officeDocument/2006/docPropsVTypes"/>
</file>